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Source Serif Pro" w:cs="Source Serif Pro" w:eastAsia="Source Serif Pro" w:hAnsi="Source Serif Pro"/>
          <w:b w:val="1"/>
          <w:sz w:val="48"/>
          <w:szCs w:val="48"/>
        </w:rPr>
      </w:pPr>
      <w:r w:rsidDel="00000000" w:rsidR="00000000" w:rsidRPr="00000000">
        <w:rPr>
          <w:rFonts w:ascii="Source Serif Pro" w:cs="Source Serif Pro" w:eastAsia="Source Serif Pro" w:hAnsi="Source Serif Pro"/>
          <w:b w:val="1"/>
          <w:sz w:val="48"/>
          <w:szCs w:val="48"/>
          <w:rtl w:val="0"/>
        </w:rPr>
        <w:t xml:space="preserve">Client Check 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This customizable checklist is designed to empower your team as you prepare for a transition to the new Security Groups model. We understand that successful change involves careful planning, clear communication, and the right people at the table.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This document provides a comprehensive framework, outlining key actions, identifying essential stakeholders, and suggesting critical communication steps to guide you in preparing your entire organization for the upcoming changes.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How to Use This Checklist: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b w:val="1"/>
          <w:rtl w:val="0"/>
        </w:rPr>
        <w:t xml:space="preserve">Personalize It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: This is a template! Download it, add your specific team names, project timelines, unique communication channels, and any additional steps relevant to your organization's unique structure and needs.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b w:val="1"/>
          <w:rtl w:val="0"/>
        </w:rPr>
        <w:t xml:space="preserve">Assign Ownership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: Clearly assign owners for each action item to ensure accountability and progress.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b w:val="1"/>
          <w:rtl w:val="0"/>
        </w:rPr>
        <w:t xml:space="preserve">Track Your Progress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: Use this document to track your readiness, identify potential roadblocks, and ensure all bases are covered.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b w:val="1"/>
          <w:rtl w:val="0"/>
        </w:rPr>
        <w:t xml:space="preserve">Communicate Effectively</w:t>
      </w: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: Leverage the suggested communication steps to proactively inform and engage your users, minimizing disruption and maximizing adoption.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t xml:space="preserve">Our goal is to make this migration as smooth as possible for you and your team. This checklist is your starting point for successful preparation and rollout!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Source Serif Pro" w:cs="Source Serif Pro" w:eastAsia="Source Serif Pro" w:hAnsi="Source Serif Pro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1800"/>
        <w:gridCol w:w="1800"/>
        <w:gridCol w:w="2787.5"/>
        <w:gridCol w:w="1000"/>
        <w:gridCol w:w="1612.5"/>
        <w:tblGridChange w:id="0">
          <w:tblGrid>
            <w:gridCol w:w="1800"/>
            <w:gridCol w:w="1800"/>
            <w:gridCol w:w="1800"/>
            <w:gridCol w:w="2787.5"/>
            <w:gridCol w:w="1000"/>
            <w:gridCol w:w="1612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Owner(s)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Why it Matters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Target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Completion Status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Emphasize the “Why”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Communicate the benefits of security groups.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Helps your team understand the value  and importance of the change.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sdt>
              <w:sdtPr>
                <w:alias w:val="Project status"/>
                <w:id w:val="1092167229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color w:val="3d3d3d"/>
                    <w:sz w:val="20"/>
                    <w:szCs w:val="20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Ensure your team understands what security groups are and how they differ from individual permissions.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Builds confidence and reduces confusion during roll out.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sdt>
              <w:sdtPr>
                <w:alias w:val="Project status"/>
                <w:id w:val="-178544068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color w:val="3d3d3d"/>
                    <w:sz w:val="20"/>
                    <w:szCs w:val="20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 Resources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Share supporting materials like documentation, FAQs, and video tutorials.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Enables self-service learning and reinforces training.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sdt>
              <w:sdtPr>
                <w:alias w:val="Project status"/>
                <w:id w:val="-1731543576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color w:val="3d3d3d"/>
                    <w:sz w:val="20"/>
                    <w:szCs w:val="20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 and communicate the timeline for your internal roll out.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Keeps the migration on track and ensures team readiness.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sdt>
              <w:sdtPr>
                <w:alias w:val="Project status"/>
                <w:id w:val="-1565842351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color w:val="3d3d3d"/>
                    <w:sz w:val="20"/>
                    <w:szCs w:val="20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Gather Feedback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Collect input from your team and share it with your ClearCompany contact.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Ensures your unique needs are considered and potential issues are addressed early.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sdt>
              <w:sdtPr>
                <w:alias w:val="Project status"/>
                <w:id w:val="-46048122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color w:val="3d3d3d"/>
                    <w:sz w:val="20"/>
                    <w:szCs w:val="20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Make it Easy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the worksheet provided to simplify planning and organize roles and permissions.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Reduces time and effort needed to prepare for the transition.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sdt>
              <w:sdtPr>
                <w:alias w:val="Project status"/>
                <w:id w:val="1211442814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color w:val="3d3d3d"/>
                    <w:sz w:val="20"/>
                    <w:szCs w:val="20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Update Internal Resources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Refresh internal docs, hiring guides, and training materials to reflect the new structure.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Promotes consistent use and supports long-term adoption of the new model.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sdt>
              <w:sdtPr>
                <w:alias w:val="Project status"/>
                <w:id w:val="-2032928359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color w:val="3d3d3d"/>
                    <w:sz w:val="20"/>
                    <w:szCs w:val="20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Source Serif Pro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0" w:lineRule="auto"/>
      <w:ind w:left="119"/>
    </w:pPr>
    <w:rPr>
      <w:rFonts w:ascii="Source Serif Pro" w:cs="Source Serif Pro" w:eastAsia="Source Serif Pro" w:hAnsi="Source Serif Pro"/>
      <w:b w:val="1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